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C4706" w:rsidRPr="00B6486B" w:rsidRDefault="005C4706" w:rsidP="005C4706">
      <w:r w:rsidRPr="00B6486B">
        <w:t xml:space="preserve">Table </w:t>
      </w:r>
      <w:r w:rsidR="0027292B">
        <w:rPr>
          <w:noProof/>
        </w:rPr>
        <w:t>8</w:t>
      </w:r>
      <w:bookmarkStart w:id="0" w:name="_GoBack"/>
      <w:bookmarkEnd w:id="0"/>
      <w:r w:rsidRPr="00B6486B">
        <w:rPr>
          <w:rFonts w:cs="Arial"/>
          <w:color w:val="auto"/>
          <w:lang w:val="ro-RO" w:eastAsia="ro-RO"/>
        </w:rPr>
        <w:t xml:space="preserve"> </w:t>
      </w:r>
      <w:r w:rsidR="009F70C2" w:rsidRPr="00683CC8">
        <w:rPr>
          <w:lang w:val="ro-RO" w:eastAsia="ro-RO"/>
        </w:rPr>
        <w:t>Clozapine</w:t>
      </w:r>
      <w:r w:rsidR="0027292B" w:rsidRPr="00AC2380">
        <w:rPr>
          <w:lang w:val="ro-RO" w:eastAsia="ro-RO"/>
        </w:rPr>
        <w:t xml:space="preserve"> resistance: Augmentation strategies</w:t>
      </w:r>
      <w:r w:rsidR="0027292B">
        <w:rPr>
          <w:lang w:val="ro-RO" w:eastAsia="ro-RO"/>
        </w:rPr>
        <w:t xml:space="preserve"> -</w:t>
      </w:r>
      <w:r w:rsidR="0027292B" w:rsidRPr="00B6486B">
        <w:t xml:space="preserve"> </w:t>
      </w:r>
      <w:r w:rsidRPr="00B6486B">
        <w:t>selected papers</w:t>
      </w:r>
    </w:p>
    <w:tbl>
      <w:tblPr>
        <w:tblStyle w:val="TableGrid"/>
        <w:tblW w:w="15456" w:type="dxa"/>
        <w:tblInd w:w="-714" w:type="dxa"/>
        <w:tblLook w:val="04A0" w:firstRow="1" w:lastRow="0" w:firstColumn="1" w:lastColumn="0" w:noHBand="0" w:noVBand="1"/>
      </w:tblPr>
      <w:tblGrid>
        <w:gridCol w:w="1525"/>
        <w:gridCol w:w="2767"/>
        <w:gridCol w:w="2892"/>
        <w:gridCol w:w="8272"/>
      </w:tblGrid>
      <w:tr w:rsidR="00683CC8" w:rsidRPr="0027292B" w:rsidTr="0027292B">
        <w:trPr>
          <w:trHeight w:val="136"/>
        </w:trPr>
        <w:tc>
          <w:tcPr>
            <w:tcW w:w="1540" w:type="dxa"/>
          </w:tcPr>
          <w:p w:rsidR="00683CC8" w:rsidRPr="0027292B" w:rsidRDefault="00683CC8" w:rsidP="00AE1690">
            <w:pPr>
              <w:pStyle w:val="MDPI71References"/>
              <w:rPr>
                <w:sz w:val="16"/>
              </w:rPr>
            </w:pPr>
          </w:p>
        </w:tc>
        <w:tc>
          <w:tcPr>
            <w:tcW w:w="2797" w:type="dxa"/>
          </w:tcPr>
          <w:p w:rsidR="00683CC8" w:rsidRPr="0027292B" w:rsidRDefault="00683CC8" w:rsidP="00AE1690">
            <w:pPr>
              <w:pStyle w:val="MDPI71References"/>
              <w:rPr>
                <w:sz w:val="16"/>
              </w:rPr>
            </w:pPr>
          </w:p>
        </w:tc>
        <w:tc>
          <w:tcPr>
            <w:tcW w:w="2558" w:type="dxa"/>
          </w:tcPr>
          <w:p w:rsidR="00683CC8" w:rsidRPr="0027292B" w:rsidRDefault="00683CC8" w:rsidP="00AE1690">
            <w:pPr>
              <w:pStyle w:val="MDPI71References"/>
              <w:rPr>
                <w:sz w:val="16"/>
              </w:rPr>
            </w:pPr>
          </w:p>
        </w:tc>
        <w:tc>
          <w:tcPr>
            <w:tcW w:w="8561" w:type="dxa"/>
          </w:tcPr>
          <w:p w:rsidR="00683CC8" w:rsidRPr="0027292B" w:rsidRDefault="00683CC8" w:rsidP="00AE1690">
            <w:pPr>
              <w:pStyle w:val="MDPI71References"/>
              <w:rPr>
                <w:sz w:val="16"/>
              </w:rPr>
            </w:pPr>
          </w:p>
        </w:tc>
      </w:tr>
      <w:tr w:rsidR="00650960" w:rsidRPr="0027292B" w:rsidTr="0027292B">
        <w:trPr>
          <w:trHeight w:val="410"/>
        </w:trPr>
        <w:tc>
          <w:tcPr>
            <w:tcW w:w="1540" w:type="dxa"/>
            <w:hideMark/>
          </w:tcPr>
          <w:p w:rsidR="00650960" w:rsidRPr="0027292B" w:rsidRDefault="00650960" w:rsidP="00AE1690">
            <w:pPr>
              <w:pStyle w:val="MDPI71References"/>
              <w:rPr>
                <w:sz w:val="16"/>
                <w:lang w:val="ro-RO" w:eastAsia="ro-RO"/>
              </w:rPr>
            </w:pPr>
            <w:r w:rsidRPr="0027292B">
              <w:rPr>
                <w:sz w:val="16"/>
                <w:lang w:val="ro-RO" w:eastAsia="ro-RO"/>
              </w:rPr>
              <w:t>Authors/CLZ rezistance</w:t>
            </w:r>
          </w:p>
        </w:tc>
        <w:tc>
          <w:tcPr>
            <w:tcW w:w="2797" w:type="dxa"/>
            <w:hideMark/>
          </w:tcPr>
          <w:p w:rsidR="00650960" w:rsidRPr="0027292B" w:rsidRDefault="00650960" w:rsidP="00AE1690">
            <w:pPr>
              <w:pStyle w:val="MDPI71References"/>
              <w:rPr>
                <w:sz w:val="16"/>
                <w:lang w:val="ro-RO" w:eastAsia="ro-RO"/>
              </w:rPr>
            </w:pPr>
            <w:r w:rsidRPr="0027292B">
              <w:rPr>
                <w:sz w:val="16"/>
                <w:lang w:val="ro-RO" w:eastAsia="ro-RO"/>
              </w:rPr>
              <w:t>Article Title</w:t>
            </w:r>
          </w:p>
        </w:tc>
        <w:tc>
          <w:tcPr>
            <w:tcW w:w="2558" w:type="dxa"/>
            <w:hideMark/>
          </w:tcPr>
          <w:p w:rsidR="00650960" w:rsidRPr="0027292B" w:rsidRDefault="00650960" w:rsidP="00AE1690">
            <w:pPr>
              <w:pStyle w:val="MDPI71References"/>
              <w:rPr>
                <w:sz w:val="16"/>
                <w:lang w:val="ro-RO" w:eastAsia="ro-RO"/>
              </w:rPr>
            </w:pPr>
            <w:r w:rsidRPr="0027292B">
              <w:rPr>
                <w:sz w:val="16"/>
                <w:lang w:val="ro-RO" w:eastAsia="ro-RO"/>
              </w:rPr>
              <w:t>Source Title</w:t>
            </w:r>
          </w:p>
        </w:tc>
        <w:tc>
          <w:tcPr>
            <w:tcW w:w="8561" w:type="dxa"/>
            <w:hideMark/>
          </w:tcPr>
          <w:p w:rsidR="00650960" w:rsidRPr="0027292B" w:rsidRDefault="00650960" w:rsidP="00AE1690">
            <w:pPr>
              <w:pStyle w:val="MDPI71References"/>
              <w:rPr>
                <w:sz w:val="16"/>
                <w:lang w:val="ro-RO" w:eastAsia="ro-RO"/>
              </w:rPr>
            </w:pPr>
            <w:r w:rsidRPr="0027292B">
              <w:rPr>
                <w:sz w:val="16"/>
                <w:lang w:val="ro-RO" w:eastAsia="ro-RO"/>
              </w:rPr>
              <w:t>Abstract</w:t>
            </w:r>
          </w:p>
        </w:tc>
      </w:tr>
      <w:tr w:rsidR="00650960" w:rsidRPr="0027292B" w:rsidTr="0027292B">
        <w:trPr>
          <w:trHeight w:val="2520"/>
        </w:trPr>
        <w:tc>
          <w:tcPr>
            <w:tcW w:w="1540" w:type="dxa"/>
            <w:hideMark/>
          </w:tcPr>
          <w:p w:rsidR="00650960" w:rsidRPr="0027292B" w:rsidRDefault="00650960" w:rsidP="00AE1690">
            <w:pPr>
              <w:pStyle w:val="MDPI71References"/>
              <w:rPr>
                <w:sz w:val="16"/>
                <w:lang w:val="ro-RO" w:eastAsia="ro-RO"/>
              </w:rPr>
            </w:pPr>
            <w:r w:rsidRPr="0027292B">
              <w:rPr>
                <w:sz w:val="16"/>
                <w:lang w:val="ro-RO" w:eastAsia="ro-RO"/>
              </w:rPr>
              <w:t>Wagner, E; Lohrs, L; Siskind, D;et al., 2019</w:t>
            </w:r>
          </w:p>
        </w:tc>
        <w:tc>
          <w:tcPr>
            <w:tcW w:w="2797" w:type="dxa"/>
            <w:hideMark/>
          </w:tcPr>
          <w:p w:rsidR="00650960" w:rsidRPr="0027292B" w:rsidRDefault="00650960" w:rsidP="00AE1690">
            <w:pPr>
              <w:pStyle w:val="MDPI71References"/>
              <w:rPr>
                <w:sz w:val="16"/>
                <w:lang w:val="ro-RO" w:eastAsia="ro-RO"/>
              </w:rPr>
            </w:pPr>
            <w:r w:rsidRPr="0027292B">
              <w:rPr>
                <w:sz w:val="16"/>
                <w:lang w:val="ro-RO" w:eastAsia="ro-RO"/>
              </w:rPr>
              <w:t>Clozapine augmentation strategies - a systematic meta-review of available evidence. Treatment options for clozapine resistance</w:t>
            </w:r>
          </w:p>
        </w:tc>
        <w:tc>
          <w:tcPr>
            <w:tcW w:w="2558" w:type="dxa"/>
            <w:hideMark/>
          </w:tcPr>
          <w:p w:rsidR="00650960" w:rsidRPr="0027292B" w:rsidRDefault="00650960" w:rsidP="00AE1690">
            <w:pPr>
              <w:pStyle w:val="MDPI71References"/>
              <w:rPr>
                <w:sz w:val="16"/>
                <w:lang w:val="ro-RO" w:eastAsia="ro-RO"/>
              </w:rPr>
            </w:pPr>
            <w:r w:rsidRPr="0027292B">
              <w:rPr>
                <w:sz w:val="16"/>
                <w:lang w:val="ro-RO" w:eastAsia="ro-RO"/>
              </w:rPr>
              <w:t>JOURNAL OF PSYCHOPHARMACOLOGY</w:t>
            </w:r>
          </w:p>
        </w:tc>
        <w:tc>
          <w:tcPr>
            <w:tcW w:w="8561" w:type="dxa"/>
            <w:hideMark/>
          </w:tcPr>
          <w:p w:rsidR="00650960" w:rsidRPr="0027292B" w:rsidRDefault="00650960" w:rsidP="00AE1690">
            <w:pPr>
              <w:pStyle w:val="MDPI71References"/>
              <w:rPr>
                <w:sz w:val="16"/>
                <w:lang w:val="ro-RO" w:eastAsia="ro-RO"/>
              </w:rPr>
            </w:pPr>
            <w:r w:rsidRPr="0027292B">
              <w:rPr>
                <w:sz w:val="16"/>
                <w:lang w:val="ro-RO" w:eastAsia="ro-RO"/>
              </w:rPr>
              <w:t>Background: Treatment options for clozapine resistance are diverse whereas, in contrast, the evidence for augmentation or combination strategies is sparse. Aims: We aimed to extract levels of evidence from available data and extrapolate recommendations for clinical practice. Methods: We conducted a systematic literature search in the PubMed/MEDLINE database and in the Cochrane database. Included meta-analyses were assessed using Scottish Intercollegiate Guidelines Network criteria, with symptom improvement as the endpoint, in order to develop a recommendation grade for each clinical strategy identified. Results: Our search identified 21 meta-analyses of clozapine combination or augmentation strategies. No strategies met Grade A criteria. Strategies meeting Grade B included combinations with first- or second-generation antipsychotics, augmentation with electroconvulsive therapy for persistent positive symptoms, and combination with certain antidepressants (fluoxetine, duloxetine, citalopram) for persistent negative symptoms. Augmentation strategies with mood-stabilisers, anticonvulsants, glutamatergics, repetitive transcranial magnetic stimulation, transcranial direct current stimulation or cognitive behavioural therapy met Grades C-D criteria only. Conclusion: More high-quality clinical trials are needed to evaluate the efficacy of add-on treatments for symptom improvement in patients with clozapine resistance. Applying definitions of clozapine resistance would improve the reporting of future clinical trials. Augmentation with second-generation antipsychotics and first-generation antipsychotics can be beneficial, but the supporting evidence is from low-quality studies. Electroconvulsive therapy may be effective for clozapine-resistant positive symptoms.</w:t>
            </w:r>
          </w:p>
        </w:tc>
      </w:tr>
      <w:tr w:rsidR="00650960" w:rsidRPr="0027292B" w:rsidTr="0027292B">
        <w:trPr>
          <w:trHeight w:val="1470"/>
        </w:trPr>
        <w:tc>
          <w:tcPr>
            <w:tcW w:w="1540" w:type="dxa"/>
            <w:hideMark/>
          </w:tcPr>
          <w:p w:rsidR="00650960" w:rsidRPr="0027292B" w:rsidRDefault="00650960" w:rsidP="00AE1690">
            <w:pPr>
              <w:pStyle w:val="MDPI71References"/>
              <w:rPr>
                <w:sz w:val="16"/>
                <w:lang w:val="ro-RO" w:eastAsia="ro-RO"/>
              </w:rPr>
            </w:pPr>
            <w:r w:rsidRPr="0027292B">
              <w:rPr>
                <w:sz w:val="16"/>
                <w:lang w:val="ro-RO" w:eastAsia="ro-RO"/>
              </w:rPr>
              <w:t>Cavieres, A; Campos-Estrada, C; Moya, Y; 2019</w:t>
            </w:r>
          </w:p>
        </w:tc>
        <w:tc>
          <w:tcPr>
            <w:tcW w:w="2797" w:type="dxa"/>
            <w:hideMark/>
          </w:tcPr>
          <w:p w:rsidR="00650960" w:rsidRPr="0027292B" w:rsidRDefault="00650960" w:rsidP="00AE1690">
            <w:pPr>
              <w:pStyle w:val="MDPI71References"/>
              <w:rPr>
                <w:sz w:val="16"/>
                <w:lang w:val="ro-RO" w:eastAsia="ro-RO"/>
              </w:rPr>
            </w:pPr>
            <w:r w:rsidRPr="0027292B">
              <w:rPr>
                <w:sz w:val="16"/>
                <w:lang w:val="ro-RO" w:eastAsia="ro-RO"/>
              </w:rPr>
              <w:t>Lack of Association between the IL6R Gene Asp358Ala Variant (rs2228145), IL-6 Plasma Levels, and Treatment Resistance in Chilean Schizophrenic Patients Treated with Clozapine</w:t>
            </w:r>
          </w:p>
        </w:tc>
        <w:tc>
          <w:tcPr>
            <w:tcW w:w="2558" w:type="dxa"/>
            <w:hideMark/>
          </w:tcPr>
          <w:p w:rsidR="00650960" w:rsidRPr="0027292B" w:rsidRDefault="00650960" w:rsidP="00AE1690">
            <w:pPr>
              <w:pStyle w:val="MDPI71References"/>
              <w:rPr>
                <w:sz w:val="16"/>
                <w:lang w:val="ro-RO" w:eastAsia="ro-RO"/>
              </w:rPr>
            </w:pPr>
            <w:r w:rsidRPr="0027292B">
              <w:rPr>
                <w:sz w:val="16"/>
                <w:lang w:val="ro-RO" w:eastAsia="ro-RO"/>
              </w:rPr>
              <w:t>SCHIZOPHRENIA RESEARCH AND TREATMENT</w:t>
            </w:r>
          </w:p>
        </w:tc>
        <w:tc>
          <w:tcPr>
            <w:tcW w:w="8561" w:type="dxa"/>
            <w:hideMark/>
          </w:tcPr>
          <w:p w:rsidR="00650960" w:rsidRPr="0027292B" w:rsidRDefault="00650960" w:rsidP="00AE1690">
            <w:pPr>
              <w:pStyle w:val="MDPI71References"/>
              <w:rPr>
                <w:sz w:val="16"/>
                <w:lang w:val="ro-RO" w:eastAsia="ro-RO"/>
              </w:rPr>
            </w:pPr>
            <w:r w:rsidRPr="0027292B">
              <w:rPr>
                <w:sz w:val="16"/>
                <w:lang w:val="ro-RO" w:eastAsia="ro-RO"/>
              </w:rPr>
              <w:t>Alterations in neuroinflammatory processes have been suggested to contribute to the development of Schizophrenia (SZ); one component of the inflammatory system that has been linked to this disorder is interleukin-6 (IL-6). The minor allele of rs2228145, a functional polymorphism in the IL-6 receptor gene, has been associated to elevated IL-6 plasma levels and increased inflammatory activity, making it an interesting candidate to study as a possible factor underlying clinical heterogeneity in SZ. We studied a sample of 100 patients undergoing treatment with clozapine. Their symptoms were quantified by Brief Psychotic Rating Scale; those with the lowest scores (remitted) were compared with the highest (clozapine treatment resistant). We determined allelic frequencies for rs2228145 and IL-6 plasma levels. Our results do not support a role of IL-6 in response to treatment with clozapine. Further studies accounting for potential confounding factors are necessary.</w:t>
            </w:r>
          </w:p>
        </w:tc>
      </w:tr>
      <w:tr w:rsidR="00650960" w:rsidRPr="0027292B" w:rsidTr="0027292B">
        <w:trPr>
          <w:trHeight w:val="2520"/>
        </w:trPr>
        <w:tc>
          <w:tcPr>
            <w:tcW w:w="1540" w:type="dxa"/>
            <w:hideMark/>
          </w:tcPr>
          <w:p w:rsidR="00650960" w:rsidRPr="0027292B" w:rsidRDefault="00650960" w:rsidP="00AE1690">
            <w:pPr>
              <w:pStyle w:val="MDPI71References"/>
              <w:rPr>
                <w:sz w:val="16"/>
                <w:lang w:val="ro-RO" w:eastAsia="ro-RO"/>
              </w:rPr>
            </w:pPr>
            <w:r w:rsidRPr="0027292B">
              <w:rPr>
                <w:sz w:val="16"/>
                <w:lang w:val="ro-RO" w:eastAsia="ro-RO"/>
              </w:rPr>
              <w:t>Yagcioglu, AEA; Yoca, G; Ayhan, Y; 2016</w:t>
            </w:r>
          </w:p>
        </w:tc>
        <w:tc>
          <w:tcPr>
            <w:tcW w:w="2797" w:type="dxa"/>
            <w:hideMark/>
          </w:tcPr>
          <w:p w:rsidR="00650960" w:rsidRPr="0027292B" w:rsidRDefault="00650960" w:rsidP="00AE1690">
            <w:pPr>
              <w:pStyle w:val="MDPI71References"/>
              <w:rPr>
                <w:sz w:val="16"/>
                <w:lang w:val="ro-RO" w:eastAsia="ro-RO"/>
              </w:rPr>
            </w:pPr>
            <w:r w:rsidRPr="0027292B">
              <w:rPr>
                <w:sz w:val="16"/>
                <w:lang w:val="ro-RO" w:eastAsia="ro-RO"/>
              </w:rPr>
              <w:t>Relation of the Allelic Variants of Multidrug Resistance Gene to Agranulocytosis Associated With Clozapine</w:t>
            </w:r>
          </w:p>
        </w:tc>
        <w:tc>
          <w:tcPr>
            <w:tcW w:w="2558" w:type="dxa"/>
            <w:hideMark/>
          </w:tcPr>
          <w:p w:rsidR="00650960" w:rsidRPr="0027292B" w:rsidRDefault="00650960" w:rsidP="00AE1690">
            <w:pPr>
              <w:pStyle w:val="MDPI71References"/>
              <w:rPr>
                <w:sz w:val="16"/>
                <w:lang w:val="ro-RO" w:eastAsia="ro-RO"/>
              </w:rPr>
            </w:pPr>
            <w:r w:rsidRPr="0027292B">
              <w:rPr>
                <w:sz w:val="16"/>
                <w:lang w:val="ro-RO" w:eastAsia="ro-RO"/>
              </w:rPr>
              <w:t>JOURNAL OF CLINICAL PSYCHOPHARMACOLOGY</w:t>
            </w:r>
          </w:p>
        </w:tc>
        <w:tc>
          <w:tcPr>
            <w:tcW w:w="8561" w:type="dxa"/>
            <w:hideMark/>
          </w:tcPr>
          <w:p w:rsidR="00650960" w:rsidRPr="0027292B" w:rsidRDefault="00650960" w:rsidP="00AE1690">
            <w:pPr>
              <w:pStyle w:val="MDPI71References"/>
              <w:rPr>
                <w:sz w:val="16"/>
                <w:lang w:val="ro-RO" w:eastAsia="ro-RO"/>
              </w:rPr>
            </w:pPr>
            <w:r w:rsidRPr="0027292B">
              <w:rPr>
                <w:sz w:val="16"/>
                <w:lang w:val="ro-RO" w:eastAsia="ro-RO"/>
              </w:rPr>
              <w:t>Clozapine use is associated with leukopenia and more rarely agranulocytosis, which may be lethal. The drug and its metabolites are proposed to interact with the multidrug resistance transporter (ABCB1/MDR1) gene product, P-glycoprotein (P-gp). Among various P-glycoprotein genetic polymorphisms, nucleotide changes in exons 26 (C3435T), 21 (G2677T), and 12 (C1236T) have been implicated for changes in pharmacokinetics and pharmacodynamics of many substrate drugs. In this study, we aimed to investigate the association between these specific ABCB1 polymorphisms and clozapine-associated agranulocytosis (CAA). Ten patients with a history of CAA and 91 control patients without a history of CAA, despite 10 years of continuous clozapine use, were included. Patient recruitment and blood sample collection were conducted at the Hacettepe University Faculty of Medicine, Department of Psychiatry, in collaboration with the members of the Schizophrenia and Other Psychotic Disorders Section of the Psychiatric Association of Turkey, working in various psychiatry clinics. After DNA extraction from peripheral blood lymphocytes, genotyping was performed using polymerase chain reaction and endonuclease digestion. Patients with CAA had shorter duration of clozapine use but did not show any significant difference in other clinical, sociodemographic characteristics and in genotypic or allelic distributions of ABCB1 variants and haplotypes compared with control patients. Among the 10 patients with CAA, none carried the ABCB1 all-variant haplotype (TT-TT-TT), whereas the frequency of this haplotype was approximately 12% among the controls. Larger sample size studies and thorough genetic analyses may reveal both genetic risk and protective factors for this serious adverse event.</w:t>
            </w:r>
          </w:p>
        </w:tc>
      </w:tr>
      <w:tr w:rsidR="00650960" w:rsidRPr="0027292B" w:rsidTr="0027292B">
        <w:trPr>
          <w:trHeight w:val="1890"/>
        </w:trPr>
        <w:tc>
          <w:tcPr>
            <w:tcW w:w="1540" w:type="dxa"/>
            <w:hideMark/>
          </w:tcPr>
          <w:p w:rsidR="00650960" w:rsidRPr="0027292B" w:rsidRDefault="00650960" w:rsidP="00AE1690">
            <w:pPr>
              <w:pStyle w:val="MDPI71References"/>
              <w:rPr>
                <w:sz w:val="16"/>
                <w:lang w:val="ro-RO" w:eastAsia="ro-RO"/>
              </w:rPr>
            </w:pPr>
            <w:r w:rsidRPr="0027292B">
              <w:rPr>
                <w:sz w:val="16"/>
                <w:lang w:val="ro-RO" w:eastAsia="ro-RO"/>
              </w:rPr>
              <w:lastRenderedPageBreak/>
              <w:t>Maric, NP; Nikolic, SP; Buzadic, I; 2015</w:t>
            </w:r>
          </w:p>
        </w:tc>
        <w:tc>
          <w:tcPr>
            <w:tcW w:w="2797" w:type="dxa"/>
            <w:hideMark/>
          </w:tcPr>
          <w:p w:rsidR="00650960" w:rsidRPr="0027292B" w:rsidRDefault="00650960" w:rsidP="00AE1690">
            <w:pPr>
              <w:pStyle w:val="MDPI71References"/>
              <w:rPr>
                <w:sz w:val="16"/>
                <w:lang w:val="ro-RO" w:eastAsia="ro-RO"/>
              </w:rPr>
            </w:pPr>
            <w:r w:rsidRPr="0027292B">
              <w:rPr>
                <w:sz w:val="16"/>
                <w:lang w:val="ro-RO" w:eastAsia="ro-RO"/>
              </w:rPr>
              <w:t>TREATMENT RESISTANCE ENIGMA RESOLVED BY PHARMACOGENOMICS - A CASE STUDY OF CLOZAPINE THERAPY IN SCHIZOPHRENIA</w:t>
            </w:r>
          </w:p>
        </w:tc>
        <w:tc>
          <w:tcPr>
            <w:tcW w:w="2558" w:type="dxa"/>
            <w:hideMark/>
          </w:tcPr>
          <w:p w:rsidR="00650960" w:rsidRPr="0027292B" w:rsidRDefault="00650960" w:rsidP="00AE1690">
            <w:pPr>
              <w:pStyle w:val="MDPI71References"/>
              <w:rPr>
                <w:sz w:val="16"/>
                <w:lang w:val="ro-RO" w:eastAsia="ro-RO"/>
              </w:rPr>
            </w:pPr>
            <w:r w:rsidRPr="0027292B">
              <w:rPr>
                <w:sz w:val="16"/>
                <w:lang w:val="ro-RO" w:eastAsia="ro-RO"/>
              </w:rPr>
              <w:t>JOURNAL OF MEDICAL BIOCHEMISTRY</w:t>
            </w:r>
          </w:p>
        </w:tc>
        <w:tc>
          <w:tcPr>
            <w:tcW w:w="8561" w:type="dxa"/>
            <w:hideMark/>
          </w:tcPr>
          <w:p w:rsidR="00650960" w:rsidRPr="0027292B" w:rsidRDefault="00650960" w:rsidP="00AE1690">
            <w:pPr>
              <w:pStyle w:val="MDPI71References"/>
              <w:rPr>
                <w:sz w:val="16"/>
                <w:lang w:val="ro-RO" w:eastAsia="ro-RO"/>
              </w:rPr>
            </w:pPr>
            <w:r w:rsidRPr="0027292B">
              <w:rPr>
                <w:sz w:val="16"/>
                <w:lang w:val="ro-RO" w:eastAsia="ro-RO"/>
              </w:rPr>
              <w:t>The introduction of antipsychotic medication in the 1950s forever changed the outlook on the treatment of schizophrenia, although there is still a large proportion of patients who do not reach functional recovery. At least 30% of patients do not respond to clozapine, the tricyclic dibenzodiazepine with complex pharmacological actions, which was proven to be more effective than any other antipsychotic in the treatment of schizophrenia. According to most of the therapeutic guidelines for schizophrenia, clozapine is the third line therapy for patients who did not respond to other antipsychotics. Large inter-individual variability exists for clozapine bioavailability and plasma steadystate concentrations and clearance. Clozapine is metabolized by the cytochrome P450 oxidase enzyme family (CYP450). Cytochrome P450 1A2 (CYP1A2), which is polymorphically expressed in humans, is the main enzyme of clozapine metabolism. This case report addresses the influence of CYP1A2*1F genetic polymorphism on clozapine metabolism, explains the primary non-response of a young patient with schizophrenia due to increased gene expression in homozygous genotype *1F/*1F (increased metabolism of clozapine) and underlies the importance of personalizing schizophrenia treatment by means of genetic and other molecular tools, at least in the cases of treatment resistance.</w:t>
            </w:r>
          </w:p>
        </w:tc>
      </w:tr>
      <w:tr w:rsidR="00650960" w:rsidRPr="0027292B" w:rsidTr="0027292B">
        <w:trPr>
          <w:trHeight w:val="2520"/>
        </w:trPr>
        <w:tc>
          <w:tcPr>
            <w:tcW w:w="1540" w:type="dxa"/>
            <w:hideMark/>
          </w:tcPr>
          <w:p w:rsidR="00650960" w:rsidRPr="0027292B" w:rsidRDefault="00650960" w:rsidP="00AE1690">
            <w:pPr>
              <w:pStyle w:val="MDPI71References"/>
              <w:rPr>
                <w:sz w:val="16"/>
                <w:lang w:val="ro-RO" w:eastAsia="ro-RO"/>
              </w:rPr>
            </w:pPr>
            <w:r w:rsidRPr="0027292B">
              <w:rPr>
                <w:sz w:val="16"/>
                <w:lang w:val="ro-RO" w:eastAsia="ro-RO"/>
              </w:rPr>
              <w:t>Porcelli, S; Balzarro, B; Serretti, A, 2012</w:t>
            </w:r>
          </w:p>
        </w:tc>
        <w:tc>
          <w:tcPr>
            <w:tcW w:w="2797" w:type="dxa"/>
            <w:hideMark/>
          </w:tcPr>
          <w:p w:rsidR="00650960" w:rsidRPr="0027292B" w:rsidRDefault="00650960" w:rsidP="00AE1690">
            <w:pPr>
              <w:pStyle w:val="MDPI71References"/>
              <w:rPr>
                <w:sz w:val="16"/>
                <w:lang w:val="ro-RO" w:eastAsia="ro-RO"/>
              </w:rPr>
            </w:pPr>
            <w:r w:rsidRPr="0027292B">
              <w:rPr>
                <w:sz w:val="16"/>
                <w:lang w:val="ro-RO" w:eastAsia="ro-RO"/>
              </w:rPr>
              <w:t>Clozapine resistance: Augmentation strategies</w:t>
            </w:r>
          </w:p>
        </w:tc>
        <w:tc>
          <w:tcPr>
            <w:tcW w:w="2558" w:type="dxa"/>
            <w:hideMark/>
          </w:tcPr>
          <w:p w:rsidR="00650960" w:rsidRPr="0027292B" w:rsidRDefault="00650960" w:rsidP="00AE1690">
            <w:pPr>
              <w:pStyle w:val="MDPI71References"/>
              <w:rPr>
                <w:sz w:val="16"/>
                <w:lang w:val="ro-RO" w:eastAsia="ro-RO"/>
              </w:rPr>
            </w:pPr>
            <w:r w:rsidRPr="0027292B">
              <w:rPr>
                <w:sz w:val="16"/>
                <w:lang w:val="ro-RO" w:eastAsia="ro-RO"/>
              </w:rPr>
              <w:t>EUROPEAN NEUROPSYCHOPHARMACOLOGY</w:t>
            </w:r>
          </w:p>
        </w:tc>
        <w:tc>
          <w:tcPr>
            <w:tcW w:w="8561" w:type="dxa"/>
            <w:hideMark/>
          </w:tcPr>
          <w:p w:rsidR="00650960" w:rsidRPr="0027292B" w:rsidRDefault="00650960" w:rsidP="00AE1690">
            <w:pPr>
              <w:pStyle w:val="MDPI71References"/>
              <w:rPr>
                <w:sz w:val="16"/>
                <w:lang w:val="ro-RO" w:eastAsia="ro-RO"/>
              </w:rPr>
            </w:pPr>
            <w:r w:rsidRPr="0027292B">
              <w:rPr>
                <w:sz w:val="16"/>
                <w:lang w:val="ro-RO" w:eastAsia="ro-RO"/>
              </w:rPr>
              <w:t>Background: Clozapine (CLZ) is not effective in more than 50% of treatment-resistant schizophrenic patients. In these cases, several pharmacological strategies are used in clinical practice, with different levels of evidence for both safety and efficacy. Objectives: In the present paper we critically reviewed literature data regarding the efficacy and safety of adjunctive agents in CLZ-resistant schizophrenics. The following classes of agents were considered: 1) antipsychotics, 2) antidepressants, 3) mood stabilizers, 4) other agents (e.g. fatty acid supplement and glutamatergic agents), 5) electroconvulsive therapy (ECT). For lamotrigine and risperidone sufficient data were available to perform a meta-analysis. Methods: A Medline literature search covering a 20-year period was performed. For the meta-analysis, data were entered and analyzed with the Cochrane Collaboration Review Manager Software (Rev Man version 5). Results: 62 pertinent studies were identified, including 1556 schizophrenic or schizoaffective patients. Among treatments investigated, there is evidence for CLZ augmentation with 1) amisulpride and aripiprazole, 2) mirtazapine and 3) ethyl eicosapentaenoic acid (E-EPA). Although promising, ECT augmentation needs further validation. The meta-analyses did not support either the use of risperidone or lamotrigine as CLZ adjunct. Conclusion: Overall, there is scarce evidence of efficacy and safety as regards adjunctive strategies for CLZ-resistant patients. However, several limitations do not allow to draw any definitive conclusion; among these we underline the small sample size of clinical trials, the variable definitions of CLZ resistance, the heterogeneity of outcome measures and methodological designs. (C) 2011 Elsevier B.V. and ECNP. All rights reserved.</w:t>
            </w:r>
          </w:p>
        </w:tc>
      </w:tr>
      <w:tr w:rsidR="00650960" w:rsidRPr="0027292B" w:rsidTr="0027292B">
        <w:trPr>
          <w:trHeight w:val="1850"/>
        </w:trPr>
        <w:tc>
          <w:tcPr>
            <w:tcW w:w="1540" w:type="dxa"/>
            <w:hideMark/>
          </w:tcPr>
          <w:p w:rsidR="00650960" w:rsidRPr="0027292B" w:rsidRDefault="00650960" w:rsidP="00AE1690">
            <w:pPr>
              <w:pStyle w:val="MDPI71References"/>
              <w:rPr>
                <w:sz w:val="16"/>
                <w:lang w:val="ro-RO" w:eastAsia="ro-RO"/>
              </w:rPr>
            </w:pPr>
            <w:r w:rsidRPr="0027292B">
              <w:rPr>
                <w:sz w:val="16"/>
                <w:lang w:val="ro-RO" w:eastAsia="ro-RO"/>
              </w:rPr>
              <w:t>Souza, JS; Kayo, M; Neto, JH; Elkis, H; Buckley, PF, 2010</w:t>
            </w:r>
          </w:p>
        </w:tc>
        <w:tc>
          <w:tcPr>
            <w:tcW w:w="2797" w:type="dxa"/>
            <w:hideMark/>
          </w:tcPr>
          <w:p w:rsidR="00650960" w:rsidRPr="0027292B" w:rsidRDefault="00650960" w:rsidP="00AE1690">
            <w:pPr>
              <w:pStyle w:val="MDPI71References"/>
              <w:rPr>
                <w:sz w:val="16"/>
                <w:lang w:val="ro-RO" w:eastAsia="ro-RO"/>
              </w:rPr>
            </w:pPr>
            <w:r w:rsidRPr="0027292B">
              <w:rPr>
                <w:sz w:val="16"/>
                <w:lang w:val="ro-RO" w:eastAsia="ro-RO"/>
              </w:rPr>
              <w:t>New Therapeutic Strategies for Resistance to Clozapine and Treatment-Resistant Schizophrenia</w:t>
            </w:r>
          </w:p>
        </w:tc>
        <w:tc>
          <w:tcPr>
            <w:tcW w:w="2558" w:type="dxa"/>
            <w:hideMark/>
          </w:tcPr>
          <w:p w:rsidR="00650960" w:rsidRPr="0027292B" w:rsidRDefault="00650960" w:rsidP="00AE1690">
            <w:pPr>
              <w:pStyle w:val="MDPI71References"/>
              <w:rPr>
                <w:sz w:val="16"/>
                <w:lang w:val="ro-RO" w:eastAsia="ro-RO"/>
              </w:rPr>
            </w:pPr>
            <w:r w:rsidRPr="0027292B">
              <w:rPr>
                <w:sz w:val="16"/>
                <w:lang w:val="ro-RO" w:eastAsia="ro-RO"/>
              </w:rPr>
              <w:t>THERAPY-RESISTANT SCHIZOPHRENIA</w:t>
            </w:r>
          </w:p>
        </w:tc>
        <w:tc>
          <w:tcPr>
            <w:tcW w:w="8561" w:type="dxa"/>
            <w:hideMark/>
          </w:tcPr>
          <w:p w:rsidR="00650960" w:rsidRPr="0027292B" w:rsidRDefault="00650960" w:rsidP="00AE1690">
            <w:pPr>
              <w:pStyle w:val="MDPI71References"/>
              <w:rPr>
                <w:sz w:val="16"/>
                <w:lang w:val="ro-RO" w:eastAsia="ro-RO"/>
              </w:rPr>
            </w:pPr>
            <w:r w:rsidRPr="0027292B">
              <w:rPr>
                <w:sz w:val="16"/>
                <w:lang w:val="ro-RO" w:eastAsia="ro-RO"/>
              </w:rPr>
              <w:t>Clozapine is the gold standard for treatment-refractory schizophrenia (TRS), but several patients only respond partially, despite adequate use. Furthermore, several issues might limit the use of clozapine, such hematological, metabolic or other disabling side effects. These issues prompted the investigation of clozapine augmentation strategies in partial responders to clozapine, as well as alternative strategies for TRS patients who do not tolerate the drug. Therefore, this chapter focuses on the novel and promising agents or techniques that have recently emerged as adjunctive treatments, such as lamotrigine, memantine and cognitive-behavioral therapy, for partial responders to clozapine. In terms of alternative strategies for patients with TRS, this review of the evidence showed modest results for risperidone and ziprasidone, while the use of high-dose olanzapine showed more consistent results, representing a viable alternative for patients with TRS who cannot use or tolerate clozapine. Nevertheless, such augmentation or alternative strategies still remain an open field of investigation. Copyright (C) 2010 S. Karger AG, Basel</w:t>
            </w:r>
          </w:p>
        </w:tc>
      </w:tr>
    </w:tbl>
    <w:p w:rsidR="003E6523" w:rsidRDefault="003E6523" w:rsidP="00AE1690"/>
    <w:p w:rsidR="00A5569D" w:rsidRDefault="0027292B" w:rsidP="00AE1690"/>
    <w:sectPr w:rsidR="00A5569D" w:rsidSect="00985D66">
      <w:pgSz w:w="16838" w:h="11906" w:orient="landscape"/>
      <w:pgMar w:top="709" w:right="1440" w:bottom="568"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CE0624C"/>
    <w:multiLevelType w:val="hybridMultilevel"/>
    <w:tmpl w:val="8F6C943C"/>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 w15:restartNumberingAfterBreak="0">
    <w:nsid w:val="250A245F"/>
    <w:multiLevelType w:val="hybridMultilevel"/>
    <w:tmpl w:val="29E20A30"/>
    <w:lvl w:ilvl="0" w:tplc="1AF444CE">
      <w:start w:val="1"/>
      <w:numFmt w:val="decimal"/>
      <w:lvlText w:val="%1."/>
      <w:lvlJc w:val="left"/>
      <w:pPr>
        <w:ind w:left="420" w:hanging="42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TU3M7U0N7ewMDQ0sjRS0lEKTi0uzszPAykwqQUAcWXv7iwAAAA="/>
  </w:docVars>
  <w:rsids>
    <w:rsidRoot w:val="00985D66"/>
    <w:rsid w:val="000147FA"/>
    <w:rsid w:val="00136B1B"/>
    <w:rsid w:val="0027292B"/>
    <w:rsid w:val="00327105"/>
    <w:rsid w:val="003E6523"/>
    <w:rsid w:val="005C4706"/>
    <w:rsid w:val="00650960"/>
    <w:rsid w:val="00683CC8"/>
    <w:rsid w:val="0079425B"/>
    <w:rsid w:val="007B0602"/>
    <w:rsid w:val="00810455"/>
    <w:rsid w:val="0083461F"/>
    <w:rsid w:val="008E5DBE"/>
    <w:rsid w:val="00985D66"/>
    <w:rsid w:val="009F70C2"/>
    <w:rsid w:val="00AC2380"/>
    <w:rsid w:val="00AE1690"/>
    <w:rsid w:val="00B6486B"/>
    <w:rsid w:val="00C82FD7"/>
    <w:rsid w:val="00D078F7"/>
    <w:rsid w:val="00DF61B3"/>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A20751F-D17D-48E1-BBBE-612A9161E7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E1690"/>
    <w:pPr>
      <w:adjustRightInd w:val="0"/>
      <w:snapToGrid w:val="0"/>
      <w:spacing w:after="0" w:line="240" w:lineRule="auto"/>
      <w:jc w:val="both"/>
    </w:pPr>
    <w:rPr>
      <w:rFonts w:ascii="Palatino Linotype" w:eastAsia="SimSun" w:hAnsi="Palatino Linotype" w:cs="Times New Roman"/>
      <w:snapToGrid w:val="0"/>
      <w:color w:val="000000"/>
      <w:sz w:val="20"/>
      <w:szCs w:val="20"/>
      <w:lang w:val="en-US" w:eastAsia="de-DE" w:bidi="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985D66"/>
    <w:pPr>
      <w:spacing w:after="0" w:line="240" w:lineRule="auto"/>
    </w:pPr>
    <w:rPr>
      <w:rFonts w:ascii="Times New Roman" w:eastAsia="SimSun" w:hAnsi="Times New Roman" w:cs="Times New Roman"/>
      <w:sz w:val="20"/>
      <w:szCs w:val="20"/>
      <w:lang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DPI71References">
    <w:name w:val="MDPI_7.1_References"/>
    <w:basedOn w:val="Normal"/>
    <w:qFormat/>
    <w:rsid w:val="00AC2380"/>
    <w:rPr>
      <w:snapToGrid/>
      <w:sz w:val="14"/>
    </w:rPr>
  </w:style>
  <w:style w:type="paragraph" w:styleId="Caption">
    <w:name w:val="caption"/>
    <w:basedOn w:val="Normal"/>
    <w:next w:val="Normal"/>
    <w:uiPriority w:val="35"/>
    <w:unhideWhenUsed/>
    <w:qFormat/>
    <w:rsid w:val="00D078F7"/>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0110316">
      <w:bodyDiv w:val="1"/>
      <w:marLeft w:val="0"/>
      <w:marRight w:val="0"/>
      <w:marTop w:val="0"/>
      <w:marBottom w:val="0"/>
      <w:divBdr>
        <w:top w:val="none" w:sz="0" w:space="0" w:color="auto"/>
        <w:left w:val="none" w:sz="0" w:space="0" w:color="auto"/>
        <w:bottom w:val="none" w:sz="0" w:space="0" w:color="auto"/>
        <w:right w:val="none" w:sz="0" w:space="0" w:color="auto"/>
      </w:divBdr>
    </w:div>
    <w:div w:id="646402240">
      <w:bodyDiv w:val="1"/>
      <w:marLeft w:val="0"/>
      <w:marRight w:val="0"/>
      <w:marTop w:val="0"/>
      <w:marBottom w:val="0"/>
      <w:divBdr>
        <w:top w:val="none" w:sz="0" w:space="0" w:color="auto"/>
        <w:left w:val="none" w:sz="0" w:space="0" w:color="auto"/>
        <w:bottom w:val="none" w:sz="0" w:space="0" w:color="auto"/>
        <w:right w:val="none" w:sz="0" w:space="0" w:color="auto"/>
      </w:divBdr>
    </w:div>
    <w:div w:id="719017653">
      <w:bodyDiv w:val="1"/>
      <w:marLeft w:val="0"/>
      <w:marRight w:val="0"/>
      <w:marTop w:val="0"/>
      <w:marBottom w:val="0"/>
      <w:divBdr>
        <w:top w:val="none" w:sz="0" w:space="0" w:color="auto"/>
        <w:left w:val="none" w:sz="0" w:space="0" w:color="auto"/>
        <w:bottom w:val="none" w:sz="0" w:space="0" w:color="auto"/>
        <w:right w:val="none" w:sz="0" w:space="0" w:color="auto"/>
      </w:divBdr>
    </w:div>
    <w:div w:id="833836020">
      <w:bodyDiv w:val="1"/>
      <w:marLeft w:val="0"/>
      <w:marRight w:val="0"/>
      <w:marTop w:val="0"/>
      <w:marBottom w:val="0"/>
      <w:divBdr>
        <w:top w:val="none" w:sz="0" w:space="0" w:color="auto"/>
        <w:left w:val="none" w:sz="0" w:space="0" w:color="auto"/>
        <w:bottom w:val="none" w:sz="0" w:space="0" w:color="auto"/>
        <w:right w:val="none" w:sz="0" w:space="0" w:color="auto"/>
      </w:divBdr>
    </w:div>
    <w:div w:id="1061709337">
      <w:bodyDiv w:val="1"/>
      <w:marLeft w:val="0"/>
      <w:marRight w:val="0"/>
      <w:marTop w:val="0"/>
      <w:marBottom w:val="0"/>
      <w:divBdr>
        <w:top w:val="none" w:sz="0" w:space="0" w:color="auto"/>
        <w:left w:val="none" w:sz="0" w:space="0" w:color="auto"/>
        <w:bottom w:val="none" w:sz="0" w:space="0" w:color="auto"/>
        <w:right w:val="none" w:sz="0" w:space="0" w:color="auto"/>
      </w:divBdr>
    </w:div>
    <w:div w:id="1403482251">
      <w:bodyDiv w:val="1"/>
      <w:marLeft w:val="0"/>
      <w:marRight w:val="0"/>
      <w:marTop w:val="0"/>
      <w:marBottom w:val="0"/>
      <w:divBdr>
        <w:top w:val="none" w:sz="0" w:space="0" w:color="auto"/>
        <w:left w:val="none" w:sz="0" w:space="0" w:color="auto"/>
        <w:bottom w:val="none" w:sz="0" w:space="0" w:color="auto"/>
        <w:right w:val="none" w:sz="0" w:space="0" w:color="auto"/>
      </w:divBdr>
    </w:div>
    <w:div w:id="1476798638">
      <w:bodyDiv w:val="1"/>
      <w:marLeft w:val="0"/>
      <w:marRight w:val="0"/>
      <w:marTop w:val="0"/>
      <w:marBottom w:val="0"/>
      <w:divBdr>
        <w:top w:val="none" w:sz="0" w:space="0" w:color="auto"/>
        <w:left w:val="none" w:sz="0" w:space="0" w:color="auto"/>
        <w:bottom w:val="none" w:sz="0" w:space="0" w:color="auto"/>
        <w:right w:val="none" w:sz="0" w:space="0" w:color="auto"/>
      </w:divBdr>
    </w:div>
    <w:div w:id="1578519087">
      <w:bodyDiv w:val="1"/>
      <w:marLeft w:val="0"/>
      <w:marRight w:val="0"/>
      <w:marTop w:val="0"/>
      <w:marBottom w:val="0"/>
      <w:divBdr>
        <w:top w:val="none" w:sz="0" w:space="0" w:color="auto"/>
        <w:left w:val="none" w:sz="0" w:space="0" w:color="auto"/>
        <w:bottom w:val="none" w:sz="0" w:space="0" w:color="auto"/>
        <w:right w:val="none" w:sz="0" w:space="0" w:color="auto"/>
      </w:divBdr>
    </w:div>
    <w:div w:id="1826631211">
      <w:bodyDiv w:val="1"/>
      <w:marLeft w:val="0"/>
      <w:marRight w:val="0"/>
      <w:marTop w:val="0"/>
      <w:marBottom w:val="0"/>
      <w:divBdr>
        <w:top w:val="none" w:sz="0" w:space="0" w:color="auto"/>
        <w:left w:val="none" w:sz="0" w:space="0" w:color="auto"/>
        <w:bottom w:val="none" w:sz="0" w:space="0" w:color="auto"/>
        <w:right w:val="none" w:sz="0" w:space="0" w:color="auto"/>
      </w:divBdr>
    </w:div>
    <w:div w:id="1872495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1488</Words>
  <Characters>8635</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Anca Pop</dc:creator>
  <cp:keywords/>
  <dc:description/>
  <cp:lastModifiedBy>Anca Pop</cp:lastModifiedBy>
  <cp:revision>2</cp:revision>
  <dcterms:created xsi:type="dcterms:W3CDTF">2020-09-28T20:37:00Z</dcterms:created>
  <dcterms:modified xsi:type="dcterms:W3CDTF">2020-09-28T20:37:00Z</dcterms:modified>
</cp:coreProperties>
</file>